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4B" w:rsidRPr="00D247CF" w:rsidRDefault="007C5B02" w:rsidP="00D247C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47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Глава </w:t>
      </w:r>
      <w:r w:rsidRPr="00D247CF">
        <w:rPr>
          <w:rFonts w:ascii="Times New Roman" w:hAnsi="Times New Roman" w:cs="Times New Roman"/>
          <w:b/>
          <w:sz w:val="28"/>
          <w:szCs w:val="28"/>
        </w:rPr>
        <w:t>3</w:t>
      </w:r>
      <w:r w:rsidRPr="00D247CF">
        <w:rPr>
          <w:rFonts w:ascii="Times New Roman" w:hAnsi="Times New Roman" w:cs="Times New Roman"/>
          <w:b/>
          <w:sz w:val="28"/>
          <w:szCs w:val="28"/>
          <w:lang w:val="kk-KZ"/>
        </w:rPr>
        <w:t>. Методологические подходы в педагогике</w:t>
      </w:r>
    </w:p>
    <w:p w:rsidR="007C5B02" w:rsidRPr="00D247CF" w:rsidRDefault="007C5B02" w:rsidP="007C5B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47CF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D247CF">
        <w:rPr>
          <w:rFonts w:ascii="Times New Roman" w:hAnsi="Times New Roman" w:cs="Times New Roman"/>
          <w:b/>
          <w:sz w:val="28"/>
          <w:szCs w:val="28"/>
          <w:lang w:val="kk-KZ"/>
        </w:rPr>
        <w:t>Методологические подходы к исследованию педагогические явлений</w:t>
      </w:r>
    </w:p>
    <w:p w:rsidR="007C5B02" w:rsidRPr="00D247CF" w:rsidRDefault="007C5B02" w:rsidP="007C5B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Проблема, относящаяся к методологии педагогики в целом, </w:t>
      </w:r>
      <w:r w:rsidRPr="00D247CF">
        <w:rPr>
          <w:rFonts w:ascii="Times New Roman" w:hAnsi="Times New Roman" w:cs="Times New Roman"/>
          <w:sz w:val="28"/>
          <w:szCs w:val="28"/>
        </w:rPr>
        <w:t>-</w:t>
      </w:r>
      <w:r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моно или полиподходность основания педагогики. При рассмотрении данной проблемы возникают вопросы, касающиеся иерархии и взаимосвязи существующих подходов, их взаимодействия на различных уровнях.</w:t>
      </w:r>
    </w:p>
    <w:p w:rsidR="007C5B02" w:rsidRPr="00D247CF" w:rsidRDefault="007C5B02" w:rsidP="007C5B0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Напомним, что в современной науке представлено множество подходов, которые можно классифицировать по разным </w:t>
      </w:r>
      <w:r w:rsidRPr="00D247CF">
        <w:rPr>
          <w:rFonts w:ascii="Times New Roman" w:hAnsi="Times New Roman" w:cs="Times New Roman"/>
          <w:i/>
          <w:sz w:val="28"/>
          <w:szCs w:val="28"/>
          <w:lang w:val="kk-KZ"/>
        </w:rPr>
        <w:t>основаниям,</w:t>
      </w:r>
      <w:r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например </w:t>
      </w:r>
      <w:r w:rsidRPr="00D247CF">
        <w:rPr>
          <w:rFonts w:ascii="Times New Roman" w:hAnsi="Times New Roman" w:cs="Times New Roman"/>
          <w:i/>
          <w:sz w:val="28"/>
          <w:szCs w:val="28"/>
          <w:lang w:val="kk-KZ"/>
        </w:rPr>
        <w:t>по научным дисциплинам</w:t>
      </w:r>
      <w:r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(философский, психологический, педагогический и т.д.), </w:t>
      </w:r>
      <w:r w:rsidRPr="00D247CF">
        <w:rPr>
          <w:rFonts w:ascii="Times New Roman" w:hAnsi="Times New Roman" w:cs="Times New Roman"/>
          <w:i/>
          <w:sz w:val="28"/>
          <w:szCs w:val="28"/>
          <w:lang w:val="kk-KZ"/>
        </w:rPr>
        <w:t>по объекту приложения</w:t>
      </w:r>
      <w:r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(деятельностный, культурологический, личностный и т.д.), </w:t>
      </w:r>
      <w:r w:rsidRPr="00D247CF">
        <w:rPr>
          <w:rFonts w:ascii="Times New Roman" w:hAnsi="Times New Roman" w:cs="Times New Roman"/>
          <w:i/>
          <w:sz w:val="28"/>
          <w:szCs w:val="28"/>
          <w:lang w:val="kk-KZ"/>
        </w:rPr>
        <w:t>по организации анализа</w:t>
      </w:r>
      <w:r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(системный, комплексный, структурный и т.д.). очевидно, что разные пожходы не исключают друг друга, а реализуют разные планы рассмотрения </w:t>
      </w:r>
      <w:r w:rsidRPr="00D247CF">
        <w:rPr>
          <w:rFonts w:ascii="Times New Roman" w:hAnsi="Times New Roman" w:cs="Times New Roman"/>
          <w:sz w:val="28"/>
          <w:szCs w:val="28"/>
        </w:rPr>
        <w:t>[163, 164]</w:t>
      </w:r>
      <w:r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. И.А. Зимняя, рассматривая проблему полиподходности, предлагает основываться на следующих </w:t>
      </w:r>
      <w:r w:rsidRPr="00D247CF">
        <w:rPr>
          <w:rFonts w:ascii="Times New Roman" w:hAnsi="Times New Roman" w:cs="Times New Roman"/>
          <w:i/>
          <w:sz w:val="28"/>
          <w:szCs w:val="28"/>
          <w:lang w:val="kk-KZ"/>
        </w:rPr>
        <w:t>четырех уровнях анализа</w:t>
      </w:r>
      <w:r w:rsidRPr="00D247CF">
        <w:rPr>
          <w:rFonts w:ascii="Times New Roman" w:hAnsi="Times New Roman" w:cs="Times New Roman"/>
          <w:sz w:val="28"/>
          <w:szCs w:val="28"/>
          <w:lang w:val="kk-KZ"/>
        </w:rPr>
        <w:t>, предложенных И. В. Блаубергом, Э. Г. Юдиным</w:t>
      </w:r>
      <w:r w:rsidRPr="00D247CF">
        <w:rPr>
          <w:rFonts w:ascii="Times New Roman" w:hAnsi="Times New Roman" w:cs="Times New Roman"/>
          <w:sz w:val="28"/>
          <w:szCs w:val="28"/>
        </w:rPr>
        <w:t>[</w:t>
      </w:r>
      <w:r w:rsidR="002B2434" w:rsidRPr="00D247CF">
        <w:rPr>
          <w:rFonts w:ascii="Times New Roman" w:hAnsi="Times New Roman" w:cs="Times New Roman"/>
          <w:sz w:val="28"/>
          <w:szCs w:val="28"/>
        </w:rPr>
        <w:t>163</w:t>
      </w:r>
      <w:r w:rsidRPr="00D247CF">
        <w:rPr>
          <w:rFonts w:ascii="Times New Roman" w:hAnsi="Times New Roman" w:cs="Times New Roman"/>
          <w:sz w:val="28"/>
          <w:szCs w:val="28"/>
        </w:rPr>
        <w:t>]</w:t>
      </w:r>
      <w:r w:rsidR="002B2434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B2434" w:rsidRPr="00D247CF">
        <w:rPr>
          <w:rFonts w:ascii="Times New Roman" w:hAnsi="Times New Roman" w:cs="Times New Roman"/>
          <w:i/>
          <w:sz w:val="28"/>
          <w:szCs w:val="28"/>
          <w:lang w:val="kk-KZ"/>
        </w:rPr>
        <w:t>философский, общенаучный, конкретнонаучный и собственно методический.</w:t>
      </w:r>
    </w:p>
    <w:p w:rsidR="002B2434" w:rsidRPr="00D247CF" w:rsidRDefault="002B2434" w:rsidP="007C5B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Приведем примеры подходов на различных уровнях. На первом философском уровне находятся, например, такие подходы, как генетический и эволюционный. На втором </w:t>
      </w:r>
      <w:r w:rsidRPr="00D247CF">
        <w:rPr>
          <w:rFonts w:ascii="Times New Roman" w:hAnsi="Times New Roman" w:cs="Times New Roman"/>
          <w:sz w:val="28"/>
          <w:szCs w:val="28"/>
        </w:rPr>
        <w:t>–</w:t>
      </w:r>
      <w:r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общенаучным уровне, например, находятся междисципл</w:t>
      </w:r>
      <w:r w:rsidR="0055747B" w:rsidRPr="00D247CF">
        <w:rPr>
          <w:rFonts w:ascii="Times New Roman" w:hAnsi="Times New Roman" w:cs="Times New Roman"/>
          <w:sz w:val="28"/>
          <w:szCs w:val="28"/>
          <w:lang w:val="kk-KZ"/>
        </w:rPr>
        <w:t>инарный, комплексный, синергетический, функциональный, парадигмальный, интегральный и др. К уровню конкретной науки или ряда наук, например психолого</w:t>
      </w:r>
      <w:r w:rsidR="0055747B" w:rsidRPr="00D247CF">
        <w:rPr>
          <w:rFonts w:ascii="Times New Roman" w:hAnsi="Times New Roman" w:cs="Times New Roman"/>
          <w:sz w:val="28"/>
          <w:szCs w:val="28"/>
        </w:rPr>
        <w:t>-</w:t>
      </w:r>
      <w:r w:rsidR="0055747B" w:rsidRPr="00D247CF">
        <w:rPr>
          <w:rFonts w:ascii="Times New Roman" w:hAnsi="Times New Roman" w:cs="Times New Roman"/>
          <w:sz w:val="28"/>
          <w:szCs w:val="28"/>
          <w:lang w:val="kk-KZ"/>
        </w:rPr>
        <w:t>педагогических, могут быть отнесены культурно</w:t>
      </w:r>
      <w:r w:rsidR="0055747B" w:rsidRPr="00D247CF">
        <w:rPr>
          <w:rFonts w:ascii="Times New Roman" w:hAnsi="Times New Roman" w:cs="Times New Roman"/>
          <w:sz w:val="28"/>
          <w:szCs w:val="28"/>
        </w:rPr>
        <w:t>-</w:t>
      </w:r>
      <w:r w:rsidR="0055747B" w:rsidRPr="00D247CF">
        <w:rPr>
          <w:rFonts w:ascii="Times New Roman" w:hAnsi="Times New Roman" w:cs="Times New Roman"/>
          <w:sz w:val="28"/>
          <w:szCs w:val="28"/>
          <w:lang w:val="kk-KZ"/>
        </w:rPr>
        <w:t>исторический, культурологический, личностный, деятельностный. На этом уровне могут быть также выделены те подходы, которые относятся к образованию, например, аксиологический, контекстный, герменевтический, личностно</w:t>
      </w:r>
      <w:r w:rsidR="0055747B" w:rsidRPr="00D247CF">
        <w:rPr>
          <w:rFonts w:ascii="Times New Roman" w:hAnsi="Times New Roman" w:cs="Times New Roman"/>
          <w:sz w:val="28"/>
          <w:szCs w:val="28"/>
        </w:rPr>
        <w:t>-</w:t>
      </w:r>
      <w:r w:rsidR="0055747B" w:rsidRPr="00D247CF">
        <w:rPr>
          <w:rFonts w:ascii="Times New Roman" w:hAnsi="Times New Roman" w:cs="Times New Roman"/>
          <w:sz w:val="28"/>
          <w:szCs w:val="28"/>
          <w:lang w:val="kk-KZ"/>
        </w:rPr>
        <w:t>деятельностный, компетентностный и др.</w:t>
      </w:r>
    </w:p>
    <w:p w:rsidR="0055747B" w:rsidRPr="00D247CF" w:rsidRDefault="0055747B" w:rsidP="00D247C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47CF">
        <w:rPr>
          <w:rFonts w:ascii="Times New Roman" w:hAnsi="Times New Roman" w:cs="Times New Roman"/>
          <w:sz w:val="28"/>
          <w:szCs w:val="28"/>
          <w:lang w:val="kk-KZ"/>
        </w:rPr>
        <w:t>Современный этап развития образовательного пространства характеризуется полиподходностью на всех уровнях методологического анализа. Полиподходность в трактовке любого явления способствует глубокому анализу его содержания, методологической базы, практических основ. Так, исследователей современно</w:t>
      </w:r>
      <w:r w:rsidR="00C272A1" w:rsidRPr="00D247CF">
        <w:rPr>
          <w:rFonts w:ascii="Times New Roman" w:hAnsi="Times New Roman" w:cs="Times New Roman"/>
          <w:sz w:val="28"/>
          <w:szCs w:val="28"/>
          <w:lang w:val="kk-KZ"/>
        </w:rPr>
        <w:t>го оброзовательного пространств</w:t>
      </w:r>
      <w:r w:rsidR="00C272A1" w:rsidRPr="00D247CF">
        <w:rPr>
          <w:rFonts w:ascii="Times New Roman" w:hAnsi="Times New Roman" w:cs="Times New Roman"/>
          <w:sz w:val="28"/>
          <w:szCs w:val="28"/>
        </w:rPr>
        <w:t>а</w:t>
      </w:r>
      <w:r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выделяют</w:t>
      </w:r>
      <w:r w:rsidR="009579FF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подходы: </w:t>
      </w:r>
      <w:r w:rsidR="009579FF" w:rsidRPr="00D247CF">
        <w:rPr>
          <w:rFonts w:ascii="Times New Roman" w:hAnsi="Times New Roman" w:cs="Times New Roman"/>
          <w:i/>
          <w:sz w:val="28"/>
          <w:szCs w:val="28"/>
          <w:lang w:val="kk-KZ"/>
        </w:rPr>
        <w:t>системный</w:t>
      </w:r>
      <w:r w:rsidR="009579FF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(П. К. Анохин, В. Г. Афанасьев, И. В. Блауберг, М. Н. Каган, Г. Н. Сериков, В. П. Симонов, Э. Г. Юдин, В. С. Леднев и др.), </w:t>
      </w:r>
      <w:r w:rsidR="009579FF" w:rsidRPr="00D247CF">
        <w:rPr>
          <w:rFonts w:ascii="Times New Roman" w:hAnsi="Times New Roman" w:cs="Times New Roman"/>
          <w:i/>
          <w:sz w:val="28"/>
          <w:szCs w:val="28"/>
          <w:lang w:val="kk-KZ"/>
        </w:rPr>
        <w:t>аксиологический</w:t>
      </w:r>
      <w:r w:rsidR="009579FF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(П. Лапи, Э. Гартман, И. Б. Котова, В. Н. Максимова, В. А. Сластенин, Е. Н. Шиянов, Н. А. Асташова, В. В. Веселова, </w:t>
      </w:r>
      <w:r w:rsidR="009579FF" w:rsidRPr="00D247C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З. И. Равкин и др.), ценностный )Т. К. Ахаян, З. И. Васильева, А. В. Зосимовский, И. С. Марьенко, А. В. Кирьякова, Н. Б. Крылова, А. Маслоу,В. Франкл, В. В. Краевский, И. Я. Лернер), </w:t>
      </w:r>
      <w:r w:rsidR="009579FF" w:rsidRPr="00D247CF">
        <w:rPr>
          <w:rFonts w:ascii="Times New Roman" w:hAnsi="Times New Roman" w:cs="Times New Roman"/>
          <w:i/>
          <w:sz w:val="28"/>
          <w:szCs w:val="28"/>
          <w:lang w:val="kk-KZ"/>
        </w:rPr>
        <w:t>антропологический</w:t>
      </w:r>
      <w:r w:rsidR="009579FF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(Л. Фейербах, Н. Г. Чернышевский, К. Д. Ушинский, Г. Ноль), </w:t>
      </w:r>
      <w:r w:rsidR="009579FF" w:rsidRPr="00D247CF">
        <w:rPr>
          <w:rFonts w:ascii="Times New Roman" w:hAnsi="Times New Roman" w:cs="Times New Roman"/>
          <w:i/>
          <w:sz w:val="28"/>
          <w:szCs w:val="28"/>
          <w:lang w:val="kk-KZ"/>
        </w:rPr>
        <w:t xml:space="preserve">цивилизационный </w:t>
      </w:r>
      <w:r w:rsidR="009579FF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(Г. Б. Корнетов, Т. И. Шалавина), </w:t>
      </w:r>
      <w:r w:rsidR="009579FF" w:rsidRPr="00D247CF">
        <w:rPr>
          <w:rFonts w:ascii="Times New Roman" w:hAnsi="Times New Roman" w:cs="Times New Roman"/>
          <w:i/>
          <w:sz w:val="28"/>
          <w:szCs w:val="28"/>
          <w:lang w:val="kk-KZ"/>
        </w:rPr>
        <w:t>парадигмальный (</w:t>
      </w:r>
      <w:r w:rsidR="009579FF" w:rsidRPr="00D247CF">
        <w:rPr>
          <w:rFonts w:ascii="Times New Roman" w:hAnsi="Times New Roman" w:cs="Times New Roman"/>
          <w:sz w:val="28"/>
          <w:szCs w:val="28"/>
          <w:lang w:val="kk-KZ"/>
        </w:rPr>
        <w:t>Т. И. Власова, И. А. Колесникова, В. Я. Пилиповский, И. А. Соловцова, Е. В. Бондарев</w:t>
      </w:r>
      <w:r w:rsidR="00EF3F9A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ская, С. В. Кульневич и др. ), </w:t>
      </w:r>
      <w:r w:rsidR="00EF3F9A" w:rsidRPr="00D247CF">
        <w:rPr>
          <w:rFonts w:ascii="Times New Roman" w:hAnsi="Times New Roman" w:cs="Times New Roman"/>
          <w:i/>
          <w:sz w:val="28"/>
          <w:szCs w:val="28"/>
          <w:lang w:val="kk-KZ"/>
        </w:rPr>
        <w:t>синергетический</w:t>
      </w:r>
      <w:r w:rsidR="00EF3F9A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(Хакен, П. К. Анохин, Е. Н. Князева, С. П. Курдюмов, Н. Моисеев, Д. Мехонцева, И. Р. Пригожин, Н. А. Алексеев, С. В. Кульневич, А. М. Богомолов, Д. Т. Трубецкой, Ю. И. Левин, Э. Лоренц, Дж. Йорке, М. Фейгенбаум, С. Смейл, Б. Мейдельборг, Е. Пугачева и др.), </w:t>
      </w:r>
      <w:r w:rsidR="00EF3F9A" w:rsidRPr="00D247CF">
        <w:rPr>
          <w:rFonts w:ascii="Times New Roman" w:hAnsi="Times New Roman" w:cs="Times New Roman"/>
          <w:i/>
          <w:sz w:val="28"/>
          <w:szCs w:val="28"/>
          <w:lang w:val="kk-KZ"/>
        </w:rPr>
        <w:t>герменевтический</w:t>
      </w:r>
      <w:r w:rsidR="00EF3F9A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(В. Дильтей, Х.</w:t>
      </w:r>
      <w:r w:rsidR="00EF3F9A" w:rsidRPr="00D247CF">
        <w:rPr>
          <w:rFonts w:ascii="Times New Roman" w:hAnsi="Times New Roman" w:cs="Times New Roman"/>
          <w:sz w:val="28"/>
          <w:szCs w:val="28"/>
        </w:rPr>
        <w:t>-</w:t>
      </w:r>
      <w:r w:rsidR="00EF3F9A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Г. Гадамер, А. Н. Колмогоров), </w:t>
      </w:r>
      <w:r w:rsidR="00EF3F9A" w:rsidRPr="00D247CF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смыслоцентрированный </w:t>
      </w:r>
      <w:r w:rsidR="00EF3F9A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(И. В. Абакумова, П. Н. Ермаков, В. Т. Фоменко, И. А. Рудакова), </w:t>
      </w:r>
      <w:r w:rsidR="00EF3F9A" w:rsidRPr="00D247CF">
        <w:rPr>
          <w:rFonts w:ascii="Times New Roman" w:hAnsi="Times New Roman" w:cs="Times New Roman"/>
          <w:i/>
          <w:sz w:val="28"/>
          <w:szCs w:val="28"/>
          <w:lang w:val="kk-KZ"/>
        </w:rPr>
        <w:t>личностный</w:t>
      </w:r>
      <w:r w:rsidR="00EF3F9A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(Р. Берне, Т. Грининг, А. Маслоу, Г. Олпорт, К. Роджерс, А. Г. Асмолов, Л. И. Божович, А. Н. Леонтьев., Б. </w:t>
      </w:r>
      <w:r w:rsidR="00FE02A2" w:rsidRPr="00D247CF">
        <w:rPr>
          <w:rFonts w:ascii="Times New Roman" w:hAnsi="Times New Roman" w:cs="Times New Roman"/>
          <w:sz w:val="28"/>
          <w:szCs w:val="28"/>
          <w:lang w:val="kk-KZ"/>
        </w:rPr>
        <w:t>Ф. Ломов, К. К. Платонов, С. Л. Рубинштейн, Г. И. Щукина, Е. В. Бондаревская, М. В. Мудрик, К. Г. Осухова, В. В. Сериков, В. А. Сластенин и др.), д</w:t>
      </w:r>
      <w:r w:rsidR="00FE02A2" w:rsidRPr="00D247C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еятельностный </w:t>
      </w:r>
      <w:r w:rsidR="00FE02A2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(Ж. Политцер, А. Валлон, Л. Сэв, Т. Томашевский, М. Форберг, Б. Г. Ананьев, Л. С. Выготский, П. Я. Гальперин, А. В. Запорожец, А. Н. Леонтьев, А. Р. Лурия, В. Н. Мясищев, С. Л. Рубинштейн, Д. Б. Эльконин и др.), </w:t>
      </w:r>
      <w:r w:rsidR="00FE02A2" w:rsidRPr="00D247C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диалогический </w:t>
      </w:r>
      <w:r w:rsidR="00FE02A2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(М. М. Бахтин, В. С. Библер, </w:t>
      </w:r>
      <w:r w:rsidR="006D14AB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И. Ю. Хоперскова и др.), </w:t>
      </w:r>
      <w:r w:rsidR="006D14AB" w:rsidRPr="00D247CF">
        <w:rPr>
          <w:rFonts w:ascii="Times New Roman" w:hAnsi="Times New Roman" w:cs="Times New Roman"/>
          <w:i/>
          <w:sz w:val="28"/>
          <w:szCs w:val="28"/>
          <w:lang w:val="kk-KZ"/>
        </w:rPr>
        <w:t>полисубъектный,</w:t>
      </w:r>
      <w:r w:rsidR="006D14AB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14AB" w:rsidRPr="00D247CF">
        <w:rPr>
          <w:rFonts w:ascii="Times New Roman" w:hAnsi="Times New Roman" w:cs="Times New Roman"/>
          <w:i/>
          <w:sz w:val="28"/>
          <w:szCs w:val="28"/>
          <w:lang w:val="kk-KZ"/>
        </w:rPr>
        <w:t>личностно</w:t>
      </w:r>
      <w:r w:rsidR="006D14AB" w:rsidRPr="00D247CF">
        <w:rPr>
          <w:rFonts w:ascii="Times New Roman" w:hAnsi="Times New Roman" w:cs="Times New Roman"/>
          <w:i/>
          <w:sz w:val="28"/>
          <w:szCs w:val="28"/>
        </w:rPr>
        <w:t>-</w:t>
      </w:r>
      <w:r w:rsidR="006D14AB" w:rsidRPr="00D247CF">
        <w:rPr>
          <w:rFonts w:ascii="Times New Roman" w:hAnsi="Times New Roman" w:cs="Times New Roman"/>
          <w:i/>
          <w:sz w:val="28"/>
          <w:szCs w:val="28"/>
          <w:lang w:val="kk-KZ"/>
        </w:rPr>
        <w:t>деятельностный</w:t>
      </w:r>
      <w:r w:rsidR="006D14AB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(Б. Г. Ананьева, Л. И. Божович, Н. В. Кузьмина, А. Н. Леонтьев, А. И. Мищенко, В. Н. Мясишев, А. В. Петровский, С. Л. Рубинштейн, В. А. Сластенин, Л. Ф. Спирин, Н. Ф. Талызина, Л. И. Анцыферова, В. В. Давыдов, Г. А. Ковалев, И. Н. Семенов, В. В. Столин, А. А. Тюков и др.), </w:t>
      </w:r>
      <w:r w:rsidR="006D14AB" w:rsidRPr="00D247CF">
        <w:rPr>
          <w:rFonts w:ascii="Times New Roman" w:hAnsi="Times New Roman" w:cs="Times New Roman"/>
          <w:i/>
          <w:sz w:val="28"/>
          <w:szCs w:val="28"/>
          <w:lang w:val="kk-KZ"/>
        </w:rPr>
        <w:t>личностно ориентированный</w:t>
      </w:r>
      <w:r w:rsidR="006D14AB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(Н. А. Алексеев, Ш. А. Амонашвили, Е. В. Бондаревская, С. В. Кульневич, М. А. Викулина, Б. С. Гершунский, И. Я. Лернер, В. В. Сериков, П. Г. Щедровицкий, И. С. Якиманская и др.), </w:t>
      </w:r>
      <w:r w:rsidR="006D14AB" w:rsidRPr="00D247CF">
        <w:rPr>
          <w:rFonts w:ascii="Times New Roman" w:hAnsi="Times New Roman" w:cs="Times New Roman"/>
          <w:i/>
          <w:sz w:val="28"/>
          <w:szCs w:val="28"/>
          <w:lang w:val="kk-KZ"/>
        </w:rPr>
        <w:t>технологический</w:t>
      </w:r>
      <w:r w:rsidR="006D14AB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(В. П. Беспалько, В. И. Загвязинский, П. И. Пидкасистый, Ю. Г. Фокин, Д. И. Чернилевский, В. Г. Селевко и др.)</w:t>
      </w:r>
      <w:r w:rsidR="00B277AD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277AD" w:rsidRPr="00D247CF">
        <w:rPr>
          <w:rFonts w:ascii="Times New Roman" w:hAnsi="Times New Roman" w:cs="Times New Roman"/>
          <w:i/>
          <w:sz w:val="28"/>
          <w:szCs w:val="28"/>
          <w:lang w:val="kk-KZ"/>
        </w:rPr>
        <w:t>задачный</w:t>
      </w:r>
      <w:r w:rsidR="00B277AD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(И. А. Зимняя), </w:t>
      </w:r>
      <w:r w:rsidR="00B277AD" w:rsidRPr="00D247CF">
        <w:rPr>
          <w:rFonts w:ascii="Times New Roman" w:hAnsi="Times New Roman" w:cs="Times New Roman"/>
          <w:i/>
          <w:sz w:val="28"/>
          <w:szCs w:val="28"/>
          <w:lang w:val="kk-KZ"/>
        </w:rPr>
        <w:t>функциональный, социокультурный</w:t>
      </w:r>
      <w:r w:rsidR="00B277AD"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 (В. В. Сафонова), компетентностный (И. А. Зимняя, Е. Н. Соловова), </w:t>
      </w:r>
      <w:r w:rsidR="00B277AD" w:rsidRPr="00D247CF">
        <w:rPr>
          <w:rFonts w:ascii="Times New Roman" w:hAnsi="Times New Roman" w:cs="Times New Roman"/>
          <w:i/>
          <w:sz w:val="28"/>
          <w:szCs w:val="28"/>
          <w:lang w:val="kk-KZ"/>
        </w:rPr>
        <w:t>профессионально ориентирова</w:t>
      </w:r>
      <w:r w:rsidR="00B5014C" w:rsidRPr="00D247C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нный, контекстный </w:t>
      </w:r>
      <w:r w:rsidR="00B5014C" w:rsidRPr="00D247CF">
        <w:rPr>
          <w:rFonts w:ascii="Times New Roman" w:hAnsi="Times New Roman" w:cs="Times New Roman"/>
          <w:sz w:val="28"/>
          <w:szCs w:val="28"/>
          <w:lang w:val="kk-KZ"/>
        </w:rPr>
        <w:t>(А. А. Вер</w:t>
      </w:r>
      <w:r w:rsidR="00D247C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B5014C" w:rsidRPr="00D247CF">
        <w:rPr>
          <w:rFonts w:ascii="Times New Roman" w:hAnsi="Times New Roman" w:cs="Times New Roman"/>
          <w:sz w:val="28"/>
          <w:szCs w:val="28"/>
          <w:lang w:val="kk-KZ"/>
        </w:rPr>
        <w:t>ицкий) и т.д.</w:t>
      </w:r>
    </w:p>
    <w:p w:rsidR="00B5014C" w:rsidRPr="00D247CF" w:rsidRDefault="00B5014C" w:rsidP="007C5B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47CF">
        <w:rPr>
          <w:rFonts w:ascii="Times New Roman" w:hAnsi="Times New Roman" w:cs="Times New Roman"/>
          <w:sz w:val="28"/>
          <w:szCs w:val="28"/>
          <w:lang w:val="kk-KZ"/>
        </w:rPr>
        <w:t>Полиподходность в изучении современного образовательного пространства свидетельствует о стремлении переосмыслить процессы, происходящие в психолого</w:t>
      </w:r>
      <w:r w:rsidRPr="00D247CF">
        <w:rPr>
          <w:rFonts w:ascii="Times New Roman" w:hAnsi="Times New Roman" w:cs="Times New Roman"/>
          <w:sz w:val="28"/>
          <w:szCs w:val="28"/>
        </w:rPr>
        <w:t>-</w:t>
      </w:r>
      <w:r w:rsidRPr="00D247CF">
        <w:rPr>
          <w:rFonts w:ascii="Times New Roman" w:hAnsi="Times New Roman" w:cs="Times New Roman"/>
          <w:sz w:val="28"/>
          <w:szCs w:val="28"/>
          <w:lang w:val="kk-KZ"/>
        </w:rPr>
        <w:t xml:space="preserve">педагогических науках, обосновать их с помощью новой методологии, выбрать из всего многообразия подходов те, которые необходимы для описания того или иного явления. Все перечисленные подходы и многие другие используются на различных уровнях научного анализа. </w:t>
      </w:r>
    </w:p>
    <w:p w:rsidR="00B5014C" w:rsidRPr="00D247CF" w:rsidRDefault="00B5014C" w:rsidP="007C5B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5014C" w:rsidRPr="00D247CF" w:rsidSect="0056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C5B02"/>
    <w:rsid w:val="00043448"/>
    <w:rsid w:val="002B2434"/>
    <w:rsid w:val="0055747B"/>
    <w:rsid w:val="0056424B"/>
    <w:rsid w:val="006D14AB"/>
    <w:rsid w:val="00757E77"/>
    <w:rsid w:val="00767FD2"/>
    <w:rsid w:val="007C5B02"/>
    <w:rsid w:val="009579FF"/>
    <w:rsid w:val="00B277AD"/>
    <w:rsid w:val="00B5014C"/>
    <w:rsid w:val="00C272A1"/>
    <w:rsid w:val="00D247CF"/>
    <w:rsid w:val="00E42138"/>
    <w:rsid w:val="00EF3F9A"/>
    <w:rsid w:val="00FE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9</cp:revision>
  <cp:lastPrinted>2016-03-22T08:12:00Z</cp:lastPrinted>
  <dcterms:created xsi:type="dcterms:W3CDTF">2016-03-10T14:08:00Z</dcterms:created>
  <dcterms:modified xsi:type="dcterms:W3CDTF">2016-03-22T08:13:00Z</dcterms:modified>
</cp:coreProperties>
</file>